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4E2AE2" w:rsidRPr="004E2AE2" w:rsidTr="00A271CB">
        <w:trPr>
          <w:trHeight w:val="2249"/>
        </w:trPr>
        <w:tc>
          <w:tcPr>
            <w:tcW w:w="4644" w:type="dxa"/>
          </w:tcPr>
          <w:p w:rsidR="004E2AE2" w:rsidRPr="004E2AE2" w:rsidRDefault="004E2AE2" w:rsidP="004E2A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E2AE2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4E2AE2" w:rsidRPr="004E2AE2" w:rsidRDefault="004E2AE2" w:rsidP="004E2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2AE2">
              <w:rPr>
                <w:bCs/>
                <w:sz w:val="24"/>
                <w:szCs w:val="24"/>
              </w:rPr>
              <w:t>«</w:t>
            </w:r>
            <w:proofErr w:type="spellStart"/>
            <w:r w:rsidRPr="004E2AE2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4E2AE2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4E2AE2" w:rsidRPr="004E2AE2" w:rsidRDefault="004E2AE2" w:rsidP="004E2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2AE2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4E2AE2" w:rsidRPr="004E2AE2" w:rsidRDefault="004E2AE2" w:rsidP="004E2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2AE2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4E2AE2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4E2AE2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4E2AE2" w:rsidRPr="004E2AE2" w:rsidRDefault="004E2AE2" w:rsidP="004E2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2AE2">
              <w:rPr>
                <w:b/>
                <w:sz w:val="24"/>
                <w:szCs w:val="24"/>
              </w:rPr>
              <w:t xml:space="preserve"> (МБОУ «</w:t>
            </w:r>
            <w:r w:rsidRPr="004E2AE2">
              <w:rPr>
                <w:rFonts w:eastAsia="Calibri"/>
                <w:b/>
                <w:sz w:val="24"/>
                <w:szCs w:val="24"/>
              </w:rPr>
              <w:t>Дуц-Хуторская СОШ</w:t>
            </w:r>
            <w:r w:rsidRPr="004E2AE2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4E2AE2" w:rsidRPr="004E2AE2" w:rsidRDefault="004E2AE2" w:rsidP="004E2A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E2AE2" w:rsidRPr="004E2AE2" w:rsidRDefault="004E2AE2" w:rsidP="004E2AE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4E2AE2">
              <w:rPr>
                <w:sz w:val="24"/>
                <w:szCs w:val="24"/>
              </w:rPr>
              <w:t>Муниципальни</w:t>
            </w:r>
            <w:proofErr w:type="spellEnd"/>
            <w:r w:rsidRPr="004E2AE2">
              <w:rPr>
                <w:sz w:val="24"/>
                <w:szCs w:val="24"/>
              </w:rPr>
              <w:t xml:space="preserve"> </w:t>
            </w:r>
            <w:proofErr w:type="spellStart"/>
            <w:r w:rsidRPr="004E2AE2">
              <w:rPr>
                <w:sz w:val="24"/>
                <w:szCs w:val="24"/>
              </w:rPr>
              <w:t>учреждени</w:t>
            </w:r>
            <w:proofErr w:type="spellEnd"/>
            <w:r w:rsidRPr="004E2AE2">
              <w:rPr>
                <w:sz w:val="24"/>
                <w:szCs w:val="24"/>
              </w:rPr>
              <w:t xml:space="preserve"> </w:t>
            </w:r>
          </w:p>
          <w:p w:rsidR="004E2AE2" w:rsidRPr="004E2AE2" w:rsidRDefault="004E2AE2" w:rsidP="004E2AE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4E2AE2">
              <w:rPr>
                <w:sz w:val="24"/>
                <w:szCs w:val="24"/>
              </w:rPr>
              <w:t>«</w:t>
            </w:r>
            <w:proofErr w:type="spellStart"/>
            <w:r w:rsidRPr="004E2AE2">
              <w:rPr>
                <w:sz w:val="24"/>
                <w:szCs w:val="24"/>
              </w:rPr>
              <w:t>Ведана</w:t>
            </w:r>
            <w:proofErr w:type="spellEnd"/>
            <w:r w:rsidRPr="004E2AE2">
              <w:rPr>
                <w:sz w:val="24"/>
                <w:szCs w:val="24"/>
              </w:rPr>
              <w:t xml:space="preserve"> </w:t>
            </w:r>
            <w:proofErr w:type="spellStart"/>
            <w:r w:rsidRPr="004E2AE2">
              <w:rPr>
                <w:sz w:val="24"/>
                <w:szCs w:val="24"/>
              </w:rPr>
              <w:t>кIоштан</w:t>
            </w:r>
            <w:proofErr w:type="spellEnd"/>
            <w:r w:rsidRPr="004E2AE2">
              <w:rPr>
                <w:sz w:val="24"/>
                <w:szCs w:val="24"/>
              </w:rPr>
              <w:t xml:space="preserve"> </w:t>
            </w:r>
            <w:proofErr w:type="spellStart"/>
            <w:r w:rsidRPr="004E2AE2">
              <w:rPr>
                <w:sz w:val="24"/>
                <w:szCs w:val="24"/>
              </w:rPr>
              <w:t>дешаран</w:t>
            </w:r>
            <w:proofErr w:type="spellEnd"/>
            <w:r w:rsidRPr="004E2AE2">
              <w:rPr>
                <w:sz w:val="24"/>
                <w:szCs w:val="24"/>
              </w:rPr>
              <w:t xml:space="preserve"> отдел»</w:t>
            </w:r>
          </w:p>
          <w:p w:rsidR="004E2AE2" w:rsidRPr="004E2AE2" w:rsidRDefault="004E2AE2" w:rsidP="004E2AE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4E2AE2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4E2A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2AE2">
              <w:rPr>
                <w:b/>
                <w:sz w:val="24"/>
                <w:szCs w:val="24"/>
              </w:rPr>
              <w:t>бюджетни</w:t>
            </w:r>
            <w:proofErr w:type="spellEnd"/>
            <w:r w:rsidRPr="004E2A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2AE2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4E2A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2AE2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4E2AE2" w:rsidRPr="004E2AE2" w:rsidRDefault="004E2AE2" w:rsidP="004E2AE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E2AE2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4E2AE2" w:rsidRPr="004E2AE2" w:rsidRDefault="004E2AE2" w:rsidP="004E2AE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E2AE2">
              <w:rPr>
                <w:b/>
                <w:sz w:val="24"/>
                <w:szCs w:val="24"/>
              </w:rPr>
              <w:t>(МБЙУУ «Дуц-</w:t>
            </w:r>
            <w:proofErr w:type="spellStart"/>
            <w:r w:rsidRPr="004E2AE2">
              <w:rPr>
                <w:b/>
                <w:sz w:val="24"/>
                <w:szCs w:val="24"/>
              </w:rPr>
              <w:t>Хотера</w:t>
            </w:r>
            <w:proofErr w:type="spellEnd"/>
            <w:r w:rsidRPr="004E2AE2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4E2AE2" w:rsidRPr="004E2AE2" w:rsidTr="00A271CB">
        <w:trPr>
          <w:trHeight w:val="1150"/>
        </w:trPr>
        <w:tc>
          <w:tcPr>
            <w:tcW w:w="4644" w:type="dxa"/>
          </w:tcPr>
          <w:p w:rsidR="004E2AE2" w:rsidRPr="004E2AE2" w:rsidRDefault="004E2AE2" w:rsidP="004E2AE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AE2">
              <w:rPr>
                <w:sz w:val="18"/>
                <w:szCs w:val="18"/>
              </w:rPr>
              <w:t xml:space="preserve">  Школьная ул. 1, с. Дуц-Хутор,</w:t>
            </w:r>
          </w:p>
          <w:p w:rsidR="004E2AE2" w:rsidRPr="004E2AE2" w:rsidRDefault="004E2AE2" w:rsidP="004E2AE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E2AE2">
              <w:rPr>
                <w:sz w:val="18"/>
                <w:szCs w:val="18"/>
              </w:rPr>
              <w:t>Веденский</w:t>
            </w:r>
            <w:proofErr w:type="spellEnd"/>
            <w:r w:rsidRPr="004E2AE2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4E2AE2" w:rsidRPr="004E2AE2" w:rsidRDefault="004E2AE2" w:rsidP="004E2AE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AE2">
              <w:rPr>
                <w:sz w:val="16"/>
                <w:szCs w:val="16"/>
              </w:rPr>
              <w:t>тел</w:t>
            </w:r>
            <w:r w:rsidRPr="004E2AE2">
              <w:rPr>
                <w:sz w:val="18"/>
                <w:szCs w:val="18"/>
              </w:rPr>
              <w:t>.: (960) 444-14-19; е-</w:t>
            </w:r>
            <w:proofErr w:type="spellStart"/>
            <w:r w:rsidRPr="004E2AE2">
              <w:rPr>
                <w:sz w:val="18"/>
                <w:szCs w:val="18"/>
              </w:rPr>
              <w:t>mail</w:t>
            </w:r>
            <w:proofErr w:type="spellEnd"/>
            <w:r w:rsidRPr="004E2AE2">
              <w:rPr>
                <w:sz w:val="18"/>
                <w:szCs w:val="18"/>
              </w:rPr>
              <w:t xml:space="preserve">: </w:t>
            </w:r>
            <w:hyperlink r:id="rId5" w:history="1">
              <w:r w:rsidRPr="004E2AE2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dutskhutorskaya-sosh</w:t>
              </w:r>
              <w:r w:rsidRPr="004E2AE2">
                <w:rPr>
                  <w:color w:val="0000FF"/>
                  <w:sz w:val="18"/>
                  <w:szCs w:val="18"/>
                  <w:u w:val="single"/>
                </w:rPr>
                <w:t>@mail.ru</w:t>
              </w:r>
            </w:hyperlink>
            <w:r w:rsidRPr="004E2AE2">
              <w:rPr>
                <w:sz w:val="18"/>
                <w:szCs w:val="18"/>
              </w:rPr>
              <w:t>; http://www.Duts-khutor.edu95.ru</w:t>
            </w:r>
            <w:r w:rsidRPr="004E2AE2">
              <w:rPr>
                <w:rFonts w:eastAsia="Calibri"/>
                <w:sz w:val="18"/>
                <w:szCs w:val="18"/>
              </w:rPr>
              <w:t>;</w:t>
            </w:r>
          </w:p>
          <w:p w:rsidR="004E2AE2" w:rsidRPr="004E2AE2" w:rsidRDefault="004E2AE2" w:rsidP="004E2AE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4E2AE2">
              <w:rPr>
                <w:noProof/>
                <w:sz w:val="18"/>
                <w:szCs w:val="18"/>
              </w:rPr>
              <w:t xml:space="preserve">ОКПО </w:t>
            </w:r>
            <w:r w:rsidRPr="004E2AE2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4E2AE2">
              <w:rPr>
                <w:noProof/>
                <w:sz w:val="18"/>
                <w:szCs w:val="18"/>
              </w:rPr>
              <w:t xml:space="preserve">; ОГРН </w:t>
            </w:r>
            <w:r w:rsidRPr="004E2AE2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4E2AE2">
              <w:rPr>
                <w:noProof/>
                <w:sz w:val="18"/>
                <w:szCs w:val="18"/>
              </w:rPr>
              <w:t>;</w:t>
            </w:r>
          </w:p>
          <w:p w:rsidR="004E2AE2" w:rsidRPr="004E2AE2" w:rsidRDefault="004E2AE2" w:rsidP="004E2AE2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2AE2">
              <w:rPr>
                <w:noProof/>
                <w:sz w:val="18"/>
                <w:szCs w:val="18"/>
              </w:rPr>
              <w:t>ИНН/КПП 2003001221/</w:t>
            </w:r>
            <w:r w:rsidRPr="004E2AE2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4E2AE2" w:rsidRPr="004E2AE2" w:rsidRDefault="004E2AE2" w:rsidP="004E2A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4E2AE2" w:rsidRPr="004E2AE2" w:rsidRDefault="004E2AE2" w:rsidP="004E2AE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4E2AE2">
              <w:rPr>
                <w:sz w:val="18"/>
                <w:szCs w:val="18"/>
              </w:rPr>
              <w:t>Школан</w:t>
            </w:r>
            <w:proofErr w:type="spellEnd"/>
            <w:r w:rsidRPr="004E2AE2">
              <w:rPr>
                <w:sz w:val="18"/>
                <w:szCs w:val="18"/>
              </w:rPr>
              <w:t xml:space="preserve"> ур.1, Дуц-Хоте,</w:t>
            </w:r>
          </w:p>
          <w:p w:rsidR="004E2AE2" w:rsidRPr="004E2AE2" w:rsidRDefault="004E2AE2" w:rsidP="004E2AE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4E2AE2">
              <w:rPr>
                <w:sz w:val="18"/>
                <w:szCs w:val="18"/>
              </w:rPr>
              <w:t>Ведана</w:t>
            </w:r>
            <w:proofErr w:type="spellEnd"/>
            <w:r w:rsidRPr="004E2AE2">
              <w:rPr>
                <w:sz w:val="18"/>
                <w:szCs w:val="18"/>
              </w:rPr>
              <w:t xml:space="preserve"> </w:t>
            </w:r>
            <w:proofErr w:type="spellStart"/>
            <w:r w:rsidRPr="004E2AE2">
              <w:rPr>
                <w:sz w:val="18"/>
                <w:szCs w:val="18"/>
              </w:rPr>
              <w:t>муниципальни</w:t>
            </w:r>
            <w:proofErr w:type="spellEnd"/>
            <w:r w:rsidRPr="004E2AE2">
              <w:rPr>
                <w:sz w:val="18"/>
                <w:szCs w:val="18"/>
              </w:rPr>
              <w:t xml:space="preserve"> </w:t>
            </w:r>
            <w:proofErr w:type="spellStart"/>
            <w:r w:rsidRPr="004E2AE2">
              <w:rPr>
                <w:sz w:val="18"/>
                <w:szCs w:val="18"/>
              </w:rPr>
              <w:t>кIошт</w:t>
            </w:r>
            <w:proofErr w:type="spellEnd"/>
            <w:r w:rsidRPr="004E2AE2">
              <w:rPr>
                <w:sz w:val="18"/>
                <w:szCs w:val="18"/>
              </w:rPr>
              <w:t>, НР, 366338;</w:t>
            </w:r>
          </w:p>
          <w:p w:rsidR="004E2AE2" w:rsidRPr="004E2AE2" w:rsidRDefault="004E2AE2" w:rsidP="004E2AE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E2AE2">
              <w:rPr>
                <w:sz w:val="16"/>
                <w:szCs w:val="18"/>
              </w:rPr>
              <w:t>тел</w:t>
            </w:r>
            <w:r w:rsidRPr="004E2AE2">
              <w:rPr>
                <w:sz w:val="16"/>
                <w:szCs w:val="18"/>
                <w:lang w:val="en-US"/>
              </w:rPr>
              <w:t xml:space="preserve">.: (960) 444-14-19; </w:t>
            </w:r>
            <w:r w:rsidRPr="004E2AE2">
              <w:rPr>
                <w:sz w:val="16"/>
                <w:szCs w:val="18"/>
              </w:rPr>
              <w:t>е</w:t>
            </w:r>
            <w:r w:rsidRPr="004E2AE2">
              <w:rPr>
                <w:sz w:val="16"/>
                <w:szCs w:val="18"/>
                <w:lang w:val="en-US"/>
              </w:rPr>
              <w:t xml:space="preserve">-mail: </w:t>
            </w:r>
            <w:r w:rsidRPr="004E2AE2">
              <w:rPr>
                <w:sz w:val="18"/>
                <w:szCs w:val="18"/>
                <w:lang w:val="en-US"/>
              </w:rPr>
              <w:t>dutskhutorskaya-sosh@mail.</w:t>
            </w:r>
            <w:r w:rsidRPr="004E2AE2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4E2AE2">
              <w:rPr>
                <w:sz w:val="18"/>
                <w:szCs w:val="18"/>
                <w:lang w:val="en-US"/>
              </w:rPr>
              <w:t>;</w:t>
            </w:r>
            <w:r w:rsidRPr="004E2AE2">
              <w:rPr>
                <w:sz w:val="16"/>
                <w:szCs w:val="18"/>
                <w:lang w:val="en-US"/>
              </w:rPr>
              <w:t xml:space="preserve"> </w:t>
            </w:r>
            <w:r w:rsidRPr="004E2AE2">
              <w:rPr>
                <w:sz w:val="18"/>
                <w:szCs w:val="18"/>
                <w:lang w:val="en-US"/>
              </w:rPr>
              <w:t>http://www. Duts-khutor.edu95.ru</w:t>
            </w:r>
            <w:r w:rsidRPr="004E2AE2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4E2AE2" w:rsidRPr="004E2AE2" w:rsidRDefault="004E2AE2" w:rsidP="004E2AE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4E2AE2">
              <w:rPr>
                <w:noProof/>
                <w:sz w:val="18"/>
                <w:szCs w:val="18"/>
              </w:rPr>
              <w:t xml:space="preserve">ОКПО </w:t>
            </w:r>
            <w:r w:rsidRPr="004E2AE2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4E2AE2">
              <w:rPr>
                <w:noProof/>
                <w:sz w:val="18"/>
                <w:szCs w:val="18"/>
              </w:rPr>
              <w:t>; ОГРН</w:t>
            </w:r>
            <w:proofErr w:type="gramStart"/>
            <w:r w:rsidRPr="004E2AE2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4E2AE2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4E2AE2" w:rsidRPr="004E2AE2" w:rsidRDefault="004E2AE2" w:rsidP="004E2AE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4E2AE2">
              <w:rPr>
                <w:noProof/>
                <w:sz w:val="18"/>
                <w:szCs w:val="18"/>
              </w:rPr>
              <w:t>ИНН/КПП 2003001221/</w:t>
            </w:r>
            <w:r w:rsidRPr="004E2AE2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4E2AE2" w:rsidRPr="004E2AE2" w:rsidTr="00A271CB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4E2AE2" w:rsidRPr="004E2AE2" w:rsidRDefault="004E2AE2" w:rsidP="004E2AE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E2AE2" w:rsidRPr="004E2AE2" w:rsidRDefault="004E2AE2" w:rsidP="004E2A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4E2AE2" w:rsidRPr="004E2AE2" w:rsidRDefault="004E2AE2" w:rsidP="004E2AE2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4E2AE2" w:rsidRPr="004E2AE2" w:rsidRDefault="004E2AE2" w:rsidP="004E2AE2">
      <w:pPr>
        <w:tabs>
          <w:tab w:val="left" w:pos="3195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E2AE2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 </w:t>
      </w:r>
    </w:p>
    <w:p w:rsidR="004E2AE2" w:rsidRPr="004E2AE2" w:rsidRDefault="004E2AE2" w:rsidP="004E2AE2">
      <w:pPr>
        <w:spacing w:before="0" w:beforeAutospacing="0" w:after="0" w:afterAutospacing="0" w:line="276" w:lineRule="auto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4E2AE2" w:rsidRPr="004E2AE2" w:rsidTr="00A271CB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4E2AE2" w:rsidP="004E2AE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E2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4E2AE2" w:rsidP="004E2AE2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4E2AE2" w:rsidP="004E2AE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E2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УТВЕРЖДАЮ</w:t>
            </w:r>
          </w:p>
        </w:tc>
      </w:tr>
      <w:tr w:rsidR="004E2AE2" w:rsidRPr="004E2AE2" w:rsidTr="00A271CB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4E2AE2" w:rsidP="004E2AE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E2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4E2AE2" w:rsidP="004E2AE2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4E2AE2" w:rsidP="004E2AE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4E2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МБОУ «Дуц-Хуторская СОШ»</w:t>
            </w:r>
          </w:p>
        </w:tc>
      </w:tr>
      <w:tr w:rsidR="004E2AE2" w:rsidRPr="004E2AE2" w:rsidTr="00A271CB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4E2AE2" w:rsidP="004E2AE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E2AE2">
              <w:rPr>
                <w:rFonts w:ascii="Times New Roman" w:eastAsia="Calibri" w:hAnsi="Times New Roman" w:cs="Times New Roman"/>
                <w:lang w:val="ru-RU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4E2AE2" w:rsidP="004E2AE2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676E9E" w:rsidP="004E2AE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676E9E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7E8AFA81" wp14:editId="34B92A5D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-205105</wp:posOffset>
                  </wp:positionV>
                  <wp:extent cx="876300" cy="869233"/>
                  <wp:effectExtent l="38100" t="38100" r="38100" b="45720"/>
                  <wp:wrapNone/>
                  <wp:docPr id="1" name="Рисунок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_20230810_115224 (1)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D4EDFF"/>
                              </a:clrFrom>
                              <a:clrTo>
                                <a:srgbClr val="D4E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7" t="26871" r="40540" b="59184"/>
                          <a:stretch/>
                        </pic:blipFill>
                        <pic:spPr bwMode="auto">
                          <a:xfrm>
                            <a:off x="0" y="0"/>
                            <a:ext cx="876300" cy="869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st="508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31750">
                            <a:bevelT w="0" h="63500"/>
                            <a:bevelB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AE2" w:rsidRPr="004E2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4E2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proofErr w:type="spellStart"/>
            <w:r w:rsidR="004E2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Ж.А.Магомадова</w:t>
            </w:r>
            <w:proofErr w:type="spellEnd"/>
          </w:p>
        </w:tc>
      </w:tr>
      <w:tr w:rsidR="004E2AE2" w:rsidRPr="004E2AE2" w:rsidTr="00A271CB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4E2AE2" w:rsidP="004E2AE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E2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(протокол  от 29.08.2023г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4E2AE2" w:rsidP="004E2AE2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AE2" w:rsidRPr="004E2AE2" w:rsidRDefault="004E2AE2" w:rsidP="004E2AE2">
            <w:pPr>
              <w:tabs>
                <w:tab w:val="left" w:pos="97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E2AE2">
              <w:rPr>
                <w:rFonts w:ascii="Times New Roman" w:eastAsia="Calibri" w:hAnsi="Times New Roman" w:cs="Times New Roman"/>
                <w:lang w:val="ru-RU"/>
              </w:rPr>
              <w:t xml:space="preserve">                </w:t>
            </w:r>
            <w:r w:rsidR="00676E9E">
              <w:rPr>
                <w:rFonts w:ascii="Times New Roman" w:eastAsia="Calibri" w:hAnsi="Times New Roman" w:cs="Times New Roman"/>
                <w:lang w:val="ru-RU"/>
              </w:rPr>
              <w:t xml:space="preserve">                         </w:t>
            </w:r>
            <w:r w:rsidRPr="004E2AE2">
              <w:rPr>
                <w:rFonts w:ascii="Times New Roman" w:eastAsia="Calibri" w:hAnsi="Times New Roman" w:cs="Times New Roman"/>
                <w:lang w:val="ru-RU"/>
              </w:rPr>
              <w:t xml:space="preserve"> Приказ № 107 от 31.08.2023г.</w:t>
            </w:r>
          </w:p>
          <w:p w:rsidR="004E2AE2" w:rsidRPr="004E2AE2" w:rsidRDefault="004E2AE2" w:rsidP="004E2AE2">
            <w:pPr>
              <w:tabs>
                <w:tab w:val="left" w:pos="97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E2AE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</w:tr>
    </w:tbl>
    <w:p w:rsidR="00300570" w:rsidRDefault="0030057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00570" w:rsidRDefault="00C57C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программах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модулей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требованиями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4E2AE2" w:rsidRPr="004E2AE2" w:rsidRDefault="004E2A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«Дуц-Хуторская СОШ»</w:t>
      </w:r>
    </w:p>
    <w:p w:rsidR="00300570" w:rsidRPr="00C57C36" w:rsidRDefault="00C57C3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57C36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  <w:r w:rsidRPr="00C57C36">
        <w:rPr>
          <w:b/>
          <w:bCs/>
          <w:color w:val="252525"/>
          <w:spacing w:val="-2"/>
          <w:sz w:val="28"/>
          <w:szCs w:val="28"/>
        </w:rPr>
        <w:t> 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требов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аниями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2AE2">
        <w:rPr>
          <w:rFonts w:hAnsi="Times New Roman" w:cs="Times New Roman"/>
          <w:color w:val="000000"/>
          <w:sz w:val="24"/>
          <w:szCs w:val="24"/>
          <w:lang w:val="ru-RU"/>
        </w:rPr>
        <w:t>«Дуц-Хуторская средняя общеобразовательная школа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нормати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ндарта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2AE2" w:rsidRPr="004E2AE2">
        <w:rPr>
          <w:rFonts w:hAnsi="Times New Roman" w:cs="Times New Roman"/>
          <w:color w:val="000000"/>
          <w:sz w:val="24"/>
          <w:szCs w:val="24"/>
          <w:lang w:val="ru-RU"/>
        </w:rPr>
        <w:t>«МБОУ “</w:t>
      </w:r>
      <w:r w:rsidR="004E2AE2">
        <w:rPr>
          <w:rFonts w:hAnsi="Times New Roman" w:cs="Times New Roman"/>
          <w:color w:val="000000"/>
          <w:sz w:val="24"/>
          <w:szCs w:val="24"/>
          <w:lang w:val="ru-RU"/>
        </w:rPr>
        <w:t>Дуц-Хуторская СОШ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2AE2">
        <w:rPr>
          <w:rFonts w:hAnsi="Times New Roman" w:cs="Times New Roman"/>
          <w:color w:val="000000"/>
          <w:sz w:val="24"/>
          <w:szCs w:val="24"/>
          <w:lang w:val="ru-RU"/>
        </w:rPr>
        <w:t>«Дуц-Хуторская СОШ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Pr="004E2AE2" w:rsidRDefault="00C57C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завершенный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характеризующийся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совокупностью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определяющая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ъем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таты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определяющий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конкретизирующий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обеспечивающий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емых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отражающий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чающимися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целостная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логически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завершенная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расширяющая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углубляющая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областе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минимуму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жания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Pr="004E2AE2" w:rsidRDefault="00C57C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годами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системно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ядка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российским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этниче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1.6.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ола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bookmarkStart w:id="0" w:name="_GoBack"/>
      <w:bookmarkEnd w:id="0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служат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мера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бессрочно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E2AE2">
        <w:rPr>
          <w:b/>
          <w:bCs/>
          <w:color w:val="252525"/>
          <w:spacing w:val="-2"/>
          <w:sz w:val="24"/>
          <w:szCs w:val="24"/>
          <w:lang w:val="ru-RU"/>
        </w:rPr>
        <w:t>2. Струк</w:t>
      </w:r>
      <w:r w:rsidRPr="004E2AE2">
        <w:rPr>
          <w:b/>
          <w:bCs/>
          <w:color w:val="252525"/>
          <w:spacing w:val="-2"/>
          <w:sz w:val="24"/>
          <w:szCs w:val="24"/>
          <w:lang w:val="ru-RU"/>
        </w:rPr>
        <w:t>тура рабочей программы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Pr="004E2AE2" w:rsidRDefault="00C57C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286;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Pr="004E2AE2" w:rsidRDefault="00C57C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373;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1897;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413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Pr="004E2AE2" w:rsidRDefault="00C57C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1.2.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разработанн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разработанные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Default="00C57C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570" w:rsidRPr="004E2AE2" w:rsidRDefault="00C57C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ектронные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задачники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коллекции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реализующими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Default="00C57C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570" w:rsidRDefault="00C57C3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653.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перечисленного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2.2.1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Отобразить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300570" w:rsidRPr="004E2AE2" w:rsidRDefault="00C57C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пояснительной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записке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«Формы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блоком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отразить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колонке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Default="00C57C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570" w:rsidRPr="004E2AE2" w:rsidRDefault="00C57C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льтаты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Default="00C57C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570" w:rsidRPr="004E2AE2" w:rsidRDefault="00C57C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Default="00C57C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570" w:rsidRDefault="00C57C3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Default="00C57C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570" w:rsidRPr="004E2AE2" w:rsidRDefault="00C57C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Default="00C57C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570" w:rsidRDefault="00C57C3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Отобразить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каждог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Default="00C57C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«Пояснительная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0570" w:rsidRPr="004E2AE2" w:rsidRDefault="00C57C3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AE2" w:rsidRPr="00C57C36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«Планируемые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«Планируемые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конкретизируют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</w:p>
    <w:p w:rsidR="00300570" w:rsidRDefault="00C57C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0570" w:rsidRPr="004E2AE2" w:rsidRDefault="00C57C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Pr="004E2AE2" w:rsidRDefault="00C57C3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прило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жением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оцениванию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Pr="004E2AE2" w:rsidRDefault="00C57C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краткую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00570" w:rsidRPr="004E2AE2" w:rsidRDefault="00C57C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актуально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00570" w:rsidRDefault="00C57C3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«Тематическое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ование»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состоящей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Pr="004E2AE2" w:rsidRDefault="00C57C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«Тематическое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планирование»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перечисленного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2.7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ожно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мультимедийных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задачников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лабораторий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2.7.2.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«Календарно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планирование»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состоящей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колонок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Default="00C57C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570" w:rsidRPr="004E2AE2" w:rsidRDefault="00C57C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Default="00C57C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570" w:rsidRPr="004E2AE2" w:rsidRDefault="00C57C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Default="00C57C3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примерные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примерные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C57C36" w:rsidRDefault="00C57C3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57C3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3. Порядок разработки и утверждения рабочей программы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преподаваемым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данно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корректировкой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Pr="004E2AE2" w:rsidRDefault="00C57C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подпунктах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1.6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1.7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Pr="004E2AE2" w:rsidRDefault="00C57C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Default="00C57C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0570" w:rsidRPr="004E2AE2" w:rsidRDefault="00C57C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расширять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планируемым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входящий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21.09.2022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858;</w:t>
      </w:r>
    </w:p>
    <w:p w:rsidR="00300570" w:rsidRPr="004E2AE2" w:rsidRDefault="00C57C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выпускают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09.06.2016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699;</w:t>
      </w:r>
    </w:p>
    <w:p w:rsidR="00300570" w:rsidRPr="004E2AE2" w:rsidRDefault="00C57C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выбирать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неодобрения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разработанные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составителем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элективов</w:t>
      </w:r>
      <w:proofErr w:type="spellEnd"/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факультативов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имеющ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C57C36" w:rsidRDefault="00C57C3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57C36">
        <w:rPr>
          <w:b/>
          <w:bCs/>
          <w:color w:val="252525"/>
          <w:spacing w:val="-2"/>
          <w:sz w:val="28"/>
          <w:szCs w:val="28"/>
          <w:lang w:val="ru-RU"/>
        </w:rPr>
        <w:t>4. Оформление и хранение рабочей программы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печатном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форматируется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редакторе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шрифтом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кегль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14,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межстрочный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интервал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одинарный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выровненный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ширине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Цент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ровка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заголовков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абзацы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встраиваются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пронумерованы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нумеруется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Печатная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дублирует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папке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«Завуч»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диске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«Школа»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Печатная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Default="00C57C36">
      <w:pPr>
        <w:rPr>
          <w:rFonts w:hAnsi="Times New Roman" w:cs="Times New Roman"/>
          <w:color w:val="000000"/>
          <w:sz w:val="24"/>
          <w:szCs w:val="24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Разработчик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аннотации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0570" w:rsidRDefault="00C57C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570" w:rsidRDefault="00C57C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0570" w:rsidRPr="004E2AE2" w:rsidRDefault="00C57C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4.7.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«Сведения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прикрепляется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подписанных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E2AE2">
        <w:rPr>
          <w:b/>
          <w:bCs/>
          <w:color w:val="252525"/>
          <w:spacing w:val="-2"/>
          <w:sz w:val="28"/>
          <w:szCs w:val="28"/>
          <w:lang w:val="ru-RU"/>
        </w:rPr>
        <w:t>5. Поряд</w:t>
      </w:r>
      <w:r w:rsidRPr="004E2AE2">
        <w:rPr>
          <w:b/>
          <w:bCs/>
          <w:color w:val="252525"/>
          <w:spacing w:val="-2"/>
          <w:sz w:val="28"/>
          <w:szCs w:val="28"/>
          <w:lang w:val="ru-RU"/>
        </w:rPr>
        <w:t>ок внесения изменений в рабочую программу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E2AE2">
        <w:rPr>
          <w:b/>
          <w:bCs/>
          <w:color w:val="252525"/>
          <w:spacing w:val="-2"/>
          <w:sz w:val="28"/>
          <w:szCs w:val="28"/>
          <w:lang w:val="ru-RU"/>
        </w:rPr>
        <w:t>6. Реализация рабочей программы</w:t>
      </w:r>
      <w:r w:rsidRPr="004E2AE2">
        <w:rPr>
          <w:b/>
          <w:bCs/>
          <w:color w:val="252525"/>
          <w:spacing w:val="-2"/>
          <w:sz w:val="28"/>
          <w:szCs w:val="28"/>
        </w:rPr>
        <w:t> 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преподаваемого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Default="00C57C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</w:t>
      </w:r>
      <w:r>
        <w:rPr>
          <w:rFonts w:hAnsi="Times New Roman" w:cs="Times New Roman"/>
          <w:color w:val="000000"/>
          <w:sz w:val="24"/>
          <w:szCs w:val="24"/>
        </w:rPr>
        <w:t>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00570" w:rsidRPr="004E2AE2" w:rsidRDefault="00C57C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00570" w:rsidRDefault="00C57C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300570" w:rsidRDefault="00C57C3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570" w:rsidRPr="004E2AE2" w:rsidRDefault="00C57C3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запланированной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300570" w:rsidRPr="004E2AE2" w:rsidRDefault="00C57C3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тодов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психическому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Pr="004E2AE2" w:rsidRDefault="00C57C3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E2AE2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7. Контроль за реализацией рабочих программ</w:t>
      </w:r>
    </w:p>
    <w:p w:rsidR="00300570" w:rsidRPr="004E2AE2" w:rsidRDefault="00C57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570" w:rsidRDefault="00C57C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0570" w:rsidRPr="004E2AE2" w:rsidRDefault="00C57C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формируемый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00570" w:rsidRPr="004E2AE2" w:rsidRDefault="00C57C3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троля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совещании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директоре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0570" w:rsidRPr="004E2AE2" w:rsidRDefault="00C57C3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00570" w:rsidRPr="004E2A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F6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E1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E1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B5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A4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C0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80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22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869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B3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44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F1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E6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866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74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B13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833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44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B43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9"/>
  </w:num>
  <w:num w:numId="10">
    <w:abstractNumId w:val="15"/>
  </w:num>
  <w:num w:numId="11">
    <w:abstractNumId w:val="14"/>
  </w:num>
  <w:num w:numId="12">
    <w:abstractNumId w:val="18"/>
  </w:num>
  <w:num w:numId="13">
    <w:abstractNumId w:val="11"/>
  </w:num>
  <w:num w:numId="14">
    <w:abstractNumId w:val="4"/>
  </w:num>
  <w:num w:numId="15">
    <w:abstractNumId w:val="6"/>
  </w:num>
  <w:num w:numId="16">
    <w:abstractNumId w:val="16"/>
  </w:num>
  <w:num w:numId="17">
    <w:abstractNumId w:val="7"/>
  </w:num>
  <w:num w:numId="18">
    <w:abstractNumId w:val="13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00570"/>
    <w:rsid w:val="003514A0"/>
    <w:rsid w:val="004E2AE2"/>
    <w:rsid w:val="004F7E17"/>
    <w:rsid w:val="005A05CE"/>
    <w:rsid w:val="00653AF6"/>
    <w:rsid w:val="00676E9E"/>
    <w:rsid w:val="00B73A5A"/>
    <w:rsid w:val="00C57C3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EFC7"/>
  <w15:docId w15:val="{35CE3701-608E-4B92-BF0E-C37CEDC9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4E2AE2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E2A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\Desktop\&#1055;&#1045;&#1063;&#1040;&#1058;&#1068;.docx" TargetMode="Externa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A</cp:lastModifiedBy>
  <cp:revision>3</cp:revision>
  <dcterms:created xsi:type="dcterms:W3CDTF">2023-09-16T13:06:00Z</dcterms:created>
  <dcterms:modified xsi:type="dcterms:W3CDTF">2023-09-16T13:09:00Z</dcterms:modified>
</cp:coreProperties>
</file>